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/>
        <w:keepLines/>
        <w:pageBreakBefore w:val="0"/>
        <w:widowControl w:val="0"/>
        <w:numPr>
          <w:ilvl w:val="1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hanging="17" w:firstLineChars="0"/>
        <w:jc w:val="center"/>
        <w:textAlignment w:val="baseline"/>
        <w:outlineLvl w:val="1"/>
        <w:rPr>
          <w:rFonts w:hint="eastAsia" w:ascii="方正小标宋_GBK" w:hAnsi="方正小标宋_GBK" w:eastAsia="方正小标宋_GBK" w:cs="方正小标宋_GBK"/>
          <w:snapToGrid/>
          <w:color w:val="auto"/>
          <w:spacing w:val="0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3"/>
          <w:kern w:val="0"/>
          <w:sz w:val="44"/>
          <w:szCs w:val="44"/>
          <w:highlight w:val="none"/>
          <w:lang w:val="en-US" w:eastAsia="zh-CN" w:bidi="ar-SA"/>
        </w:rPr>
        <w:t>负荷类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3"/>
          <w:kern w:val="0"/>
          <w:sz w:val="44"/>
          <w:szCs w:val="44"/>
          <w:highlight w:val="none"/>
          <w:lang w:val="en-US" w:eastAsia="en-US" w:bidi="ar-SA"/>
        </w:rPr>
        <w:t>虚拟电厂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3"/>
          <w:kern w:val="0"/>
          <w:sz w:val="44"/>
          <w:szCs w:val="44"/>
          <w:highlight w:val="none"/>
          <w:lang w:val="en-US" w:eastAsia="zh-CN" w:bidi="ar-SA"/>
        </w:rPr>
        <w:t>运营商技术支持系统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3"/>
          <w:kern w:val="0"/>
          <w:sz w:val="44"/>
          <w:szCs w:val="44"/>
          <w:highlight w:val="none"/>
          <w:lang w:val="en-US" w:eastAsia="en-US" w:bidi="ar-SA"/>
        </w:rPr>
        <w:t>接入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3"/>
          <w:kern w:val="0"/>
          <w:sz w:val="44"/>
          <w:szCs w:val="44"/>
          <w:highlight w:val="none"/>
          <w:lang w:val="en-US" w:eastAsia="zh-CN" w:bidi="ar-SA"/>
        </w:rPr>
        <w:t>新型电力负荷管理系统</w:t>
      </w:r>
      <w:r>
        <w:rPr>
          <w:rFonts w:hint="eastAsia" w:ascii="方正小标宋_GBK" w:hAnsi="方正小标宋_GBK" w:eastAsia="方正小标宋_GBK" w:cs="方正小标宋_GBK"/>
          <w:snapToGrid/>
          <w:color w:val="auto"/>
          <w:spacing w:val="0"/>
          <w:kern w:val="2"/>
          <w:sz w:val="44"/>
          <w:szCs w:val="44"/>
          <w:highlight w:val="none"/>
          <w:lang w:val="en-US" w:eastAsia="zh-CN" w:bidi="ar-SA"/>
        </w:rPr>
        <w:t>交互</w:t>
      </w:r>
      <w:r>
        <w:rPr>
          <w:rFonts w:hint="eastAsia" w:ascii="方正小标宋_GBK" w:hAnsi="方正小标宋_GBK" w:eastAsia="方正小标宋_GBK" w:cs="方正小标宋_GBK"/>
          <w:snapToGrid/>
          <w:color w:val="auto"/>
          <w:spacing w:val="0"/>
          <w:kern w:val="2"/>
          <w:sz w:val="44"/>
          <w:szCs w:val="44"/>
          <w:highlight w:val="none"/>
          <w:lang w:val="en-US" w:eastAsia="zh-CN" w:bidi="ar-SA"/>
        </w:rPr>
        <w:t>字段</w:t>
      </w:r>
      <w:r>
        <w:rPr>
          <w:rFonts w:hint="eastAsia" w:ascii="方正小标宋_GBK" w:hAnsi="方正小标宋_GBK" w:eastAsia="方正小标宋_GBK" w:cs="方正小标宋_GBK"/>
          <w:snapToGrid/>
          <w:color w:val="auto"/>
          <w:spacing w:val="0"/>
          <w:kern w:val="2"/>
          <w:sz w:val="44"/>
          <w:szCs w:val="44"/>
          <w:highlight w:val="none"/>
          <w:lang w:val="en-US" w:eastAsia="zh-CN" w:bidi="ar-SA"/>
        </w:rPr>
        <w:t>示例</w:t>
      </w:r>
    </w:p>
    <w:p>
      <w:pPr>
        <w:rPr>
          <w:rFonts w:hint="eastAsia"/>
          <w:lang w:val="en-US" w:eastAsia="zh-CN"/>
        </w:rPr>
      </w:pPr>
    </w:p>
    <w:tbl>
      <w:tblPr>
        <w:tblStyle w:val="14"/>
        <w:tblW w:w="886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"/>
        <w:gridCol w:w="365"/>
        <w:gridCol w:w="370"/>
        <w:gridCol w:w="463"/>
        <w:gridCol w:w="1173"/>
        <w:gridCol w:w="619"/>
        <w:gridCol w:w="579"/>
        <w:gridCol w:w="557"/>
        <w:gridCol w:w="643"/>
        <w:gridCol w:w="37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exact"/>
          <w:jc w:val="center"/>
        </w:trPr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数据标识</w:t>
            </w:r>
          </w:p>
        </w:tc>
        <w:tc>
          <w:tcPr>
            <w:tcW w:w="11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数据格式</w:t>
            </w:r>
          </w:p>
        </w:tc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1"/>
                <w:sz w:val="18"/>
                <w:szCs w:val="18"/>
                <w:highlight w:val="none"/>
              </w:rPr>
              <w:t>字节数</w:t>
            </w:r>
          </w:p>
        </w:tc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功能</w:t>
            </w:r>
          </w:p>
        </w:tc>
        <w:tc>
          <w:tcPr>
            <w:tcW w:w="37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数据项名称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exac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DI3</w:t>
            </w:r>
          </w:p>
        </w:tc>
        <w:tc>
          <w:tcPr>
            <w:tcW w:w="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DI2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DI1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DI0</w:t>
            </w:r>
          </w:p>
        </w:tc>
        <w:tc>
          <w:tcPr>
            <w:tcW w:w="117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6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18"/>
                <w:szCs w:val="18"/>
                <w:highlight w:val="none"/>
              </w:rPr>
              <w:t>读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w w:val="99"/>
                <w:sz w:val="18"/>
                <w:szCs w:val="18"/>
                <w:highlight w:val="none"/>
              </w:rPr>
              <w:t>写</w:t>
            </w:r>
          </w:p>
        </w:tc>
        <w:tc>
          <w:tcPr>
            <w:tcW w:w="37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en-US"/>
              </w:rPr>
              <w:t>02</w:t>
            </w:r>
          </w:p>
        </w:tc>
        <w:tc>
          <w:tcPr>
            <w:tcW w:w="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en-US"/>
              </w:rPr>
              <w:t>00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聚合用户数量（户）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en-US"/>
              </w:rPr>
              <w:t>02</w:t>
            </w:r>
          </w:p>
        </w:tc>
        <w:tc>
          <w:tcPr>
            <w:tcW w:w="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en-US"/>
              </w:rPr>
              <w:t>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en-US"/>
              </w:rPr>
              <w:t>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1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聚合容量（kW）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en-US"/>
              </w:rPr>
              <w:t>02</w:t>
            </w:r>
          </w:p>
        </w:tc>
        <w:tc>
          <w:tcPr>
            <w:tcW w:w="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en-US"/>
              </w:rPr>
              <w:t>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3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调节容量(kW)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03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3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最大上调容量(kW)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04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position w:val="1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3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最大下调容量(kW）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05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NNN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position w:val="1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18"/>
                <w:szCs w:val="18"/>
                <w:highlight w:val="none"/>
              </w:rPr>
              <w:t>调节持续时间(min)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06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NNN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最大上调节容量持续时间(min)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07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NNN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最大下调节容量持续时间(min)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08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kW/min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调节速率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09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kW/min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上调速率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0a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kW/min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下调速率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0b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调节精度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0c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18"/>
                <w:szCs w:val="18"/>
                <w:highlight w:val="none"/>
              </w:rPr>
              <w:t>控制准确度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0d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kW/min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18"/>
                <w:szCs w:val="18"/>
                <w:highlight w:val="none"/>
              </w:rPr>
              <w:t>爬坡速度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0e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kW/min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上调</w:t>
            </w:r>
            <w:r>
              <w:rPr>
                <w:rFonts w:hint="eastAsia" w:ascii="宋体" w:hAnsi="宋体" w:eastAsia="宋体" w:cs="宋体"/>
                <w:color w:val="auto"/>
                <w:spacing w:val="10"/>
                <w:sz w:val="18"/>
                <w:szCs w:val="18"/>
                <w:highlight w:val="none"/>
              </w:rPr>
              <w:t>爬坡速度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0f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kW/min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下调</w:t>
            </w:r>
            <w:r>
              <w:rPr>
                <w:rFonts w:hint="eastAsia" w:ascii="宋体" w:hAnsi="宋体" w:eastAsia="宋体" w:cs="宋体"/>
                <w:color w:val="auto"/>
                <w:spacing w:val="10"/>
                <w:sz w:val="18"/>
                <w:szCs w:val="18"/>
                <w:highlight w:val="none"/>
              </w:rPr>
              <w:t>爬坡速度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pacing w:val="1"/>
                <w:sz w:val="17"/>
                <w:szCs w:val="17"/>
                <w:highlight w:val="none"/>
                <w:lang w:eastAsia="zh-CN"/>
              </w:rPr>
              <w:t>12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position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NNN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pacing w:val="1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2"/>
                <w:sz w:val="18"/>
                <w:szCs w:val="18"/>
                <w:highlight w:val="none"/>
              </w:rPr>
              <w:t>爬坡时长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13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position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NNN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pacing w:val="12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上调爬坡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18"/>
                <w:szCs w:val="18"/>
                <w:highlight w:val="none"/>
              </w:rPr>
              <w:t>时长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pacing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14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position w:val="1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NNN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下调爬坡</w:t>
            </w:r>
            <w:r>
              <w:rPr>
                <w:rFonts w:hint="eastAsia" w:ascii="宋体" w:hAnsi="宋体" w:eastAsia="宋体" w:cs="宋体"/>
                <w:color w:val="auto"/>
                <w:spacing w:val="12"/>
                <w:sz w:val="18"/>
                <w:szCs w:val="18"/>
                <w:highlight w:val="none"/>
              </w:rPr>
              <w:t>时长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17"/>
                <w:szCs w:val="17"/>
                <w:highlight w:val="none"/>
              </w:rPr>
              <w:t>ASCII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32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left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虚拟</w:t>
            </w:r>
            <w:r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  <w:t>电厂编号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17"/>
                <w:szCs w:val="17"/>
                <w:highlight w:val="none"/>
              </w:rPr>
              <w:t>ASCII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  <w:t>64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left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虚拟</w:t>
            </w:r>
            <w:r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  <w:t>电厂中文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1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5"/>
                <w:sz w:val="17"/>
                <w:szCs w:val="17"/>
                <w:highlight w:val="none"/>
              </w:rPr>
              <w:t>ASCII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参与</w:t>
            </w:r>
            <w:r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  <w:t>交易品种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当有多个时，使用英文逗号分隔:01电能量市场，02需求响应市场，03 辅助服务市场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5"/>
                <w:sz w:val="17"/>
                <w:szCs w:val="17"/>
                <w:highlight w:val="none"/>
              </w:rPr>
              <w:t>ASCII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position w:val="1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Arial"/>
                <w:color w:val="auto"/>
                <w:highlight w:val="none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聚合资源</w:t>
            </w:r>
            <w:r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  <w:t>类型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17"/>
                <w:szCs w:val="17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当有多个时，使用英文逗号分隔: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</w:rPr>
              <w:t>01自备电源，02用户侧储能，03电动汽车，04充电站，05 换电站，06楼宇空调，07 工商业可调节负荷，08分布式光伏，09分散式风电，10分布式独立储能，99 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pacing w:val="5"/>
                <w:kern w:val="2"/>
                <w:sz w:val="17"/>
                <w:szCs w:val="17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pacing w:val="5"/>
                <w:sz w:val="17"/>
                <w:szCs w:val="17"/>
                <w:highlight w:val="none"/>
                <w:lang w:val="en-US" w:eastAsia="zh-CN"/>
              </w:rPr>
              <w:t>Hhmmss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7"/>
                <w:szCs w:val="17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7"/>
                <w:szCs w:val="17"/>
                <w:highlight w:val="none"/>
                <w:lang w:val="en-US" w:eastAsia="zh-CN" w:bidi="ar-SA"/>
              </w:rPr>
              <w:t>128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Arial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position w:val="1"/>
                <w:sz w:val="17"/>
                <w:szCs w:val="17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pacing w:val="5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7"/>
                <w:szCs w:val="17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  <w:lang w:val="en-US" w:eastAsia="zh-CN"/>
              </w:rPr>
              <w:t>调控开始时间</w:t>
            </w:r>
          </w:p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right="0" w:firstLine="0" w:firstLine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格式为加密前格式，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经sdk加密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，长度固定为128字节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exact"/>
          <w:jc w:val="center"/>
        </w:trPr>
        <w:tc>
          <w:tcPr>
            <w:tcW w:w="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1A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pacing w:val="5"/>
                <w:kern w:val="2"/>
                <w:sz w:val="17"/>
                <w:szCs w:val="17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pacing w:val="5"/>
                <w:sz w:val="17"/>
                <w:szCs w:val="17"/>
                <w:highlight w:val="none"/>
                <w:lang w:val="en-US" w:eastAsia="zh-CN"/>
              </w:rPr>
              <w:t>Hhmmss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7"/>
                <w:szCs w:val="17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7"/>
                <w:szCs w:val="17"/>
                <w:highlight w:val="none"/>
                <w:lang w:val="en-US" w:eastAsia="zh-CN" w:bidi="ar-SA"/>
              </w:rPr>
              <w:t>128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Arial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position w:val="1"/>
                <w:sz w:val="17"/>
                <w:szCs w:val="17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spacing w:val="5"/>
                <w:sz w:val="17"/>
                <w:szCs w:val="17"/>
                <w:highlight w:val="none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7"/>
                <w:szCs w:val="17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7"/>
                <w:szCs w:val="17"/>
                <w:highlight w:val="none"/>
                <w:lang w:val="en-US" w:eastAsia="zh-CN"/>
              </w:rPr>
              <w:t>调控结束时间</w:t>
            </w:r>
          </w:p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right="0" w:firstLine="0" w:firstLineChars="0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格式为加密前格式，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经sdk加密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，长度固定为128字节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1B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128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kW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目标调控负荷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格式为加密前格式，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经sdk加密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，长度固定为128字节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6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用户编号信息(N 最大值为20)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用户1用户编号,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用户2用户编号,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用户20用户编号,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用户编号信息(N 最大值为20)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用户21用户编号,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用户22用户编号,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用户40用户编号,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8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用户编号信息(N 最大值为20)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用户41用户编号,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用户42用户编号,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用户60用户编号,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5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04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用户编号信息(N 最大值为20)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用户61用户编号,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用户62用户编号,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用户80用户编号,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4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NNNNNNNNNNNNNNNN,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8,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用户编号信息(N 最大值为20)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用户81用户编号,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用户82用户编号,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用户100用户编号,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KW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用户功率信息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用户1功率，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用户20功率，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0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KW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用户功率信息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用户21功率，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用户40功率，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KW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用户功率信息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用户41功率，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用户60功率，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0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04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KW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用户功率信息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用户61功率，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用户80功率，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0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NNNNNNNNNNNNNNNN.NNNNNN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11,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KW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*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3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用户功率信息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用户81功率，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...</w:t>
            </w:r>
          </w:p>
          <w:p>
            <w:pPr>
              <w:pStyle w:val="15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1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用户100功率，</w:t>
            </w:r>
          </w:p>
        </w:tc>
      </w:tr>
    </w:tbl>
    <w:p>
      <w:pPr>
        <w:rPr>
          <w:rFonts w:hint="eastAsia" w:ascii="方正小标宋_GBK" w:hAnsi="方正小标宋_GBK" w:eastAsia="方正小标宋_GBK" w:cs="方正小标宋_GBK"/>
          <w:snapToGrid w:val="0"/>
          <w:color w:val="auto"/>
          <w:spacing w:val="-3"/>
          <w:kern w:val="0"/>
          <w:sz w:val="44"/>
          <w:szCs w:val="44"/>
          <w:highlight w:val="none"/>
          <w:lang w:val="en-US" w:eastAsia="en-US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240" w:lineRule="auto"/>
        <w:ind w:firstLine="0" w:firstLineChars="0"/>
        <w:rPr>
          <w:rFonts w:hint="eastAsia" w:ascii="仿宋_GB2312" w:hAnsi="仿宋_GB2312" w:cs="仿宋_GB2312"/>
          <w:color w:val="auto"/>
          <w:sz w:val="21"/>
          <w:szCs w:val="16"/>
          <w:highlight w:val="none"/>
          <w:lang w:val="en-US" w:eastAsia="zh-CN"/>
        </w:rPr>
        <w:sectPr>
          <w:footerReference r:id="rId5" w:type="default"/>
          <w:type w:val="continuous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_GB2312" w:hAnsi="仿宋_GB2312" w:cs="仿宋_GB2312"/>
          <w:color w:val="auto"/>
          <w:sz w:val="21"/>
          <w:szCs w:val="16"/>
          <w:highlight w:val="none"/>
          <w:lang w:val="en-US" w:eastAsia="zh-CN"/>
        </w:rPr>
        <w:t>注：用户编号信息和用户功率信息，为可变长度数据项，有多少个就返回多少个，不需要补无效数据，一个数据项最多返回20个数据，若数量大于20个，则通过后续数据标识读取。比如02250201返回前20个，02250202返回21-40个，02250203返回41-60个等。</w:t>
      </w:r>
      <w:bookmarkStart w:id="0" w:name="_GoBack"/>
      <w:bookmarkEnd w:id="0"/>
    </w:p>
    <w:p>
      <w:pPr>
        <w:adjustRightInd/>
        <w:snapToGrid/>
        <w:spacing w:line="240" w:lineRule="auto"/>
        <w:ind w:firstLine="0" w:firstLineChars="0"/>
        <w:jc w:val="left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6" name="文本框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31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AXen6w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31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351DB7"/>
    <w:multiLevelType w:val="multilevel"/>
    <w:tmpl w:val="0E351DB7"/>
    <w:lvl w:ilvl="0" w:tentative="0">
      <w:start w:val="1"/>
      <w:numFmt w:val="decimal"/>
      <w:pStyle w:val="5"/>
      <w:lvlText w:val="%1 "/>
      <w:lvlJc w:val="left"/>
      <w:pPr>
        <w:tabs>
          <w:tab w:val="left" w:pos="420"/>
        </w:tabs>
        <w:ind w:left="425" w:leftChars="0" w:hanging="425" w:firstLineChars="0"/>
      </w:pPr>
      <w:rPr>
        <w:rFonts w:hint="default" w:ascii="黑体" w:hAnsi="黑体" w:eastAsia="黑体" w:cs="黑体"/>
      </w:rPr>
    </w:lvl>
    <w:lvl w:ilvl="1" w:tentative="0">
      <w:start w:val="1"/>
      <w:numFmt w:val="decimal"/>
      <w:pStyle w:val="6"/>
      <w:suff w:val="space"/>
      <w:lvlText w:val="%1.%2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黑体"/>
      </w:rPr>
    </w:lvl>
    <w:lvl w:ilvl="2" w:tentative="0">
      <w:start w:val="1"/>
      <w:numFmt w:val="decimal"/>
      <w:pStyle w:val="7"/>
      <w:suff w:val="space"/>
      <w:lvlText w:val="%1.%2.%3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宋体"/>
        <w:b w:val="0"/>
        <w:bCs w:val="0"/>
      </w:rPr>
    </w:lvl>
    <w:lvl w:ilvl="3" w:tentative="0">
      <w:start w:val="1"/>
      <w:numFmt w:val="decimal"/>
      <w:pStyle w:val="8"/>
      <w:suff w:val="space"/>
      <w:lvlText w:val="%1.%2.%3.%4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宋体"/>
      </w:rPr>
    </w:lvl>
    <w:lvl w:ilvl="4" w:tentative="0">
      <w:start w:val="1"/>
      <w:numFmt w:val="decimal"/>
      <w:pStyle w:val="9"/>
      <w:suff w:val="space"/>
      <w:lvlText w:val="%1.%2.%3.%4.%5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Times New Roman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31A1B"/>
    <w:rsid w:val="05C24D91"/>
    <w:rsid w:val="117F0DAA"/>
    <w:rsid w:val="1BAC6E16"/>
    <w:rsid w:val="213D4B16"/>
    <w:rsid w:val="2BD7154F"/>
    <w:rsid w:val="48854BC2"/>
    <w:rsid w:val="4F777782"/>
    <w:rsid w:val="6973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5">
    <w:name w:val="heading 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adjustRightInd w:val="0"/>
      <w:spacing w:beforeLines="0" w:beforeAutospacing="0" w:afterLines="0" w:afterAutospacing="0" w:line="360" w:lineRule="auto"/>
      <w:ind w:left="425" w:hanging="425" w:firstLineChars="0"/>
      <w:jc w:val="left"/>
      <w:outlineLvl w:val="0"/>
    </w:pPr>
    <w:rPr>
      <w:rFonts w:ascii="黑体" w:hAnsi="黑体" w:eastAsia="黑体" w:cs="黑体"/>
      <w:b/>
      <w:kern w:val="44"/>
      <w:sz w:val="21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adjustRightInd w:val="0"/>
      <w:snapToGrid w:val="0"/>
      <w:spacing w:beforeLines="0" w:beforeAutospacing="0" w:afterLines="0" w:afterAutospacing="0" w:line="360" w:lineRule="auto"/>
      <w:ind w:left="0" w:firstLine="0" w:firstLineChars="0"/>
      <w:jc w:val="left"/>
      <w:outlineLvl w:val="1"/>
    </w:pPr>
    <w:rPr>
      <w:rFonts w:ascii="黑体" w:hAnsi="黑体" w:eastAsia="黑体"/>
    </w:rPr>
  </w:style>
  <w:style w:type="paragraph" w:styleId="7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tabs>
        <w:tab w:val="left" w:pos="420"/>
        <w:tab w:val="clear" w:pos="0"/>
      </w:tabs>
      <w:spacing w:beforeLines="0" w:beforeAutospacing="0" w:afterLines="0" w:afterAutospacing="0" w:line="360" w:lineRule="auto"/>
      <w:ind w:left="0" w:firstLine="0" w:firstLineChars="0"/>
      <w:outlineLvl w:val="2"/>
    </w:pPr>
    <w:rPr>
      <w:rFonts w:eastAsia="黑体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0" w:firstLineChars="0"/>
      <w:outlineLvl w:val="3"/>
    </w:pPr>
    <w:rPr>
      <w:rFonts w:ascii="Arial" w:hAnsi="Arial" w:eastAsia="黑体"/>
      <w:b/>
      <w:sz w:val="28"/>
    </w:rPr>
  </w:style>
  <w:style w:type="paragraph" w:styleId="9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0" w:firstLineChars="0"/>
      <w:outlineLvl w:val="4"/>
    </w:pPr>
    <w:rPr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ind w:left="0" w:leftChars="0" w:firstLine="4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 w:firstLine="200" w:firstLineChars="200"/>
    </w:pPr>
    <w:rPr>
      <w:rFonts w:ascii="Times New Roman" w:hAnsi="Times New Roman" w:eastAsia="宋体" w:cs="Times New Roman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Calibri Light" w:hAnsi="Calibri Light"/>
    </w:r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13">
    <w:name w:val="Table Paragraph"/>
    <w:basedOn w:val="1"/>
    <w:qFormat/>
    <w:uiPriority w:val="1"/>
  </w:style>
  <w:style w:type="table" w:customStyle="1" w:styleId="14">
    <w:name w:val="Table Normal"/>
    <w:basedOn w:val="11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p0"/>
    <w:qFormat/>
    <w:uiPriority w:val="99"/>
    <w:pPr>
      <w:suppressAutoHyphens/>
      <w:ind w:firstLine="200" w:firstLineChars="200"/>
    </w:pPr>
    <w:rPr>
      <w:rFonts w:ascii="Times New Roman" w:hAnsi="Times New Roman" w:eastAsia="宋体" w:cs="Calibri"/>
      <w:kern w:val="1"/>
      <w:sz w:val="21"/>
      <w:szCs w:val="21"/>
      <w:lang w:val="en-US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2025-06-04T00:51:00Z</dcterms:created>
  <dc:creator>彭晶晶</dc:creator>
  <cp:lastModifiedBy>彭晶晶</cp:lastModifiedBy>
  <dcterms:modified xsi:type="dcterms:W3CDTF">2025-06-04T00:52:47Z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65BE025D2EA6477FA2E67E684D467128</vt:lpwstr>
  </property>
</Properties>
</file>