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90E55">
      <w:pPr>
        <w:pBdr>
          <w:bottom w:val="single" w:color="auto" w:sz="2" w:space="0"/>
        </w:pBdr>
        <w:spacing w:before="240" w:after="240" w:line="320" w:lineRule="auto"/>
        <w:ind w:firstLine="80"/>
        <w:jc w:val="center"/>
        <w:rPr>
          <w:rFonts w:ascii="宋体" w:hAnsi="宋体" w:eastAsia="宋体"/>
          <w:b/>
          <w:sz w:val="32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2"/>
          <w:szCs w:val="28"/>
        </w:rPr>
        <w:t>标杆光伏电站遴选评分表（分布式光伏项目）</w:t>
      </w:r>
    </w:p>
    <w:p w14:paraId="24D79F4F">
      <w:p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1.总则</w:t>
      </w:r>
    </w:p>
    <w:p w14:paraId="7F0757A9">
      <w:pPr>
        <w:spacing w:line="360" w:lineRule="auto"/>
        <w:rPr>
          <w:rFonts w:ascii="宋体" w:hAnsi="宋体" w:eastAsia="宋体"/>
          <w:sz w:val="24"/>
          <w:szCs w:val="28"/>
          <w:highlight w:val="none"/>
        </w:rPr>
      </w:pPr>
      <w:r>
        <w:rPr>
          <w:rFonts w:hint="eastAsia" w:ascii="宋体" w:hAnsi="宋体" w:eastAsia="宋体"/>
          <w:sz w:val="24"/>
          <w:szCs w:val="28"/>
          <w:highlight w:val="none"/>
        </w:rPr>
        <w:t>1.1标杆光伏电站（分布式光伏电站）遴选围绕高效发电、市场适配、安全生产、智慧运维、创新性、</w:t>
      </w:r>
      <w:r>
        <w:rPr>
          <w:rFonts w:hint="eastAsia" w:ascii="宋体" w:hAnsi="宋体" w:eastAsia="宋体" w:cs="宋体"/>
          <w:color w:val="000000"/>
          <w:kern w:val="0"/>
          <w:sz w:val="24"/>
          <w:highlight w:val="none"/>
          <w:lang w:bidi="ar"/>
        </w:rPr>
        <w:t>环境影响和社会效益指标</w:t>
      </w:r>
      <w:r>
        <w:rPr>
          <w:rFonts w:hint="eastAsia" w:ascii="宋体" w:hAnsi="宋体" w:eastAsia="宋体"/>
          <w:sz w:val="24"/>
          <w:szCs w:val="28"/>
          <w:highlight w:val="none"/>
          <w:lang w:val="en-US" w:eastAsia="zh-CN"/>
        </w:rPr>
        <w:t>六</w:t>
      </w:r>
      <w:r>
        <w:rPr>
          <w:rFonts w:hint="eastAsia" w:ascii="宋体" w:hAnsi="宋体" w:eastAsia="宋体"/>
          <w:sz w:val="24"/>
          <w:szCs w:val="28"/>
          <w:highlight w:val="none"/>
        </w:rPr>
        <w:t>方面进行。</w:t>
      </w:r>
    </w:p>
    <w:p w14:paraId="57BAF6EA">
      <w:pPr>
        <w:widowControl/>
        <w:spacing w:line="360" w:lineRule="auto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1.2光伏电站评分1</w:t>
      </w:r>
      <w:r>
        <w:rPr>
          <w:rFonts w:ascii="宋体" w:hAnsi="宋体" w:eastAsia="宋体"/>
          <w:sz w:val="24"/>
          <w:szCs w:val="28"/>
        </w:rPr>
        <w:t>0</w:t>
      </w:r>
      <w:r>
        <w:rPr>
          <w:rFonts w:hint="eastAsia" w:ascii="宋体" w:hAnsi="宋体" w:eastAsia="宋体"/>
          <w:sz w:val="24"/>
          <w:szCs w:val="28"/>
        </w:rPr>
        <w:t>0分为满分（BIPV项目为1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</w:t>
      </w:r>
      <w:r>
        <w:rPr>
          <w:rFonts w:ascii="宋体" w:hAnsi="宋体" w:eastAsia="宋体"/>
          <w:sz w:val="24"/>
          <w:szCs w:val="28"/>
        </w:rPr>
        <w:t>0</w:t>
      </w:r>
      <w:r>
        <w:rPr>
          <w:rFonts w:hint="eastAsia" w:ascii="宋体" w:hAnsi="宋体" w:eastAsia="宋体"/>
          <w:sz w:val="24"/>
          <w:szCs w:val="28"/>
        </w:rPr>
        <w:t>分），各项内容所占分数如下表：</w:t>
      </w:r>
    </w:p>
    <w:tbl>
      <w:tblPr>
        <w:tblStyle w:val="7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575"/>
        <w:gridCol w:w="25"/>
        <w:gridCol w:w="594"/>
        <w:gridCol w:w="25"/>
        <w:gridCol w:w="1726"/>
        <w:gridCol w:w="60"/>
        <w:gridCol w:w="7461"/>
        <w:gridCol w:w="649"/>
        <w:gridCol w:w="666"/>
        <w:gridCol w:w="686"/>
      </w:tblGrid>
      <w:tr w14:paraId="036D0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blHeader/>
        </w:trPr>
        <w:tc>
          <w:tcPr>
            <w:tcW w:w="245" w:type="pct"/>
            <w:vAlign w:val="center"/>
          </w:tcPr>
          <w:p w14:paraId="3A9F470D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序号</w:t>
            </w:r>
          </w:p>
        </w:tc>
        <w:tc>
          <w:tcPr>
            <w:tcW w:w="556" w:type="pct"/>
            <w:vAlign w:val="center"/>
          </w:tcPr>
          <w:p w14:paraId="0B75819C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项目</w:t>
            </w:r>
          </w:p>
        </w:tc>
        <w:tc>
          <w:tcPr>
            <w:tcW w:w="219" w:type="pct"/>
            <w:gridSpan w:val="2"/>
            <w:vAlign w:val="center"/>
          </w:tcPr>
          <w:p w14:paraId="35FA06E1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标准分</w:t>
            </w:r>
          </w:p>
        </w:tc>
        <w:tc>
          <w:tcPr>
            <w:tcW w:w="618" w:type="pct"/>
            <w:gridSpan w:val="2"/>
            <w:vAlign w:val="center"/>
          </w:tcPr>
          <w:p w14:paraId="53E6AAF9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评价标准</w:t>
            </w:r>
          </w:p>
        </w:tc>
        <w:tc>
          <w:tcPr>
            <w:tcW w:w="2651" w:type="pct"/>
            <w:gridSpan w:val="2"/>
            <w:vAlign w:val="center"/>
          </w:tcPr>
          <w:p w14:paraId="5339E600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评分细则</w:t>
            </w:r>
          </w:p>
        </w:tc>
        <w:tc>
          <w:tcPr>
            <w:tcW w:w="229" w:type="pct"/>
            <w:vAlign w:val="center"/>
          </w:tcPr>
          <w:p w14:paraId="6F397C24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证明材料</w:t>
            </w:r>
          </w:p>
        </w:tc>
        <w:tc>
          <w:tcPr>
            <w:tcW w:w="235" w:type="pct"/>
            <w:vAlign w:val="center"/>
          </w:tcPr>
          <w:p w14:paraId="0B5C71BC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自评分</w:t>
            </w:r>
          </w:p>
        </w:tc>
        <w:tc>
          <w:tcPr>
            <w:tcW w:w="242" w:type="pct"/>
            <w:vAlign w:val="center"/>
          </w:tcPr>
          <w:p w14:paraId="7483E820"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专家评分</w:t>
            </w:r>
          </w:p>
        </w:tc>
      </w:tr>
      <w:tr w14:paraId="0A07D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07E3FD1E">
            <w:pPr>
              <w:jc w:val="center"/>
              <w:rPr>
                <w:rFonts w:ascii="宋体" w:hAnsi="宋体" w:eastAsia="宋体" w:cs="微软雅黑 Light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一</w:t>
            </w:r>
          </w:p>
        </w:tc>
        <w:tc>
          <w:tcPr>
            <w:tcW w:w="4047" w:type="pct"/>
            <w:gridSpan w:val="7"/>
            <w:vAlign w:val="center"/>
          </w:tcPr>
          <w:p w14:paraId="50721EE5">
            <w:pPr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高效发电指</w:t>
            </w:r>
            <w:r>
              <w:rPr>
                <w:rFonts w:hint="eastAsia" w:ascii="宋体" w:hAnsi="宋体" w:eastAsia="宋体"/>
                <w:bCs/>
                <w:szCs w:val="21"/>
                <w:highlight w:val="none"/>
              </w:rPr>
              <w:t>标20</w:t>
            </w:r>
          </w:p>
        </w:tc>
        <w:tc>
          <w:tcPr>
            <w:tcW w:w="229" w:type="pct"/>
            <w:vAlign w:val="center"/>
          </w:tcPr>
          <w:p w14:paraId="45181D78">
            <w:pPr>
              <w:jc w:val="center"/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492F5C1C">
            <w:pPr>
              <w:jc w:val="center"/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38ED7E02">
            <w:pPr>
              <w:jc w:val="center"/>
              <w:rPr>
                <w:rFonts w:ascii="宋体" w:hAnsi="宋体" w:eastAsia="宋体"/>
                <w:b/>
                <w:szCs w:val="21"/>
              </w:rPr>
            </w:pPr>
          </w:p>
        </w:tc>
      </w:tr>
      <w:tr w14:paraId="21A95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245" w:type="pct"/>
            <w:vAlign w:val="center"/>
          </w:tcPr>
          <w:p w14:paraId="6920157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</w:t>
            </w:r>
          </w:p>
        </w:tc>
        <w:tc>
          <w:tcPr>
            <w:tcW w:w="565" w:type="pct"/>
            <w:gridSpan w:val="2"/>
            <w:vAlign w:val="center"/>
          </w:tcPr>
          <w:p w14:paraId="0EE4FBE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年利用小时数</w:t>
            </w:r>
          </w:p>
        </w:tc>
        <w:tc>
          <w:tcPr>
            <w:tcW w:w="219" w:type="pct"/>
            <w:gridSpan w:val="2"/>
            <w:vAlign w:val="center"/>
          </w:tcPr>
          <w:p w14:paraId="019FCBA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20</w:t>
            </w:r>
          </w:p>
        </w:tc>
        <w:tc>
          <w:tcPr>
            <w:tcW w:w="630" w:type="pct"/>
            <w:gridSpan w:val="2"/>
            <w:vAlign w:val="center"/>
          </w:tcPr>
          <w:p w14:paraId="6A552C4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年利用小时数</w:t>
            </w:r>
          </w:p>
        </w:tc>
        <w:tc>
          <w:tcPr>
            <w:tcW w:w="2631" w:type="pct"/>
            <w:vAlign w:val="center"/>
          </w:tcPr>
          <w:p w14:paraId="60913CE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实际值每高于（低于）该地市最佳倾角年有效利用小时数1个百分点，加（减）0.5分，基础分10分。</w:t>
            </w:r>
          </w:p>
          <w:p w14:paraId="3EDA07F7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hAnsi="Cambria Math" w:eastAsia="宋体" w:cs="微软雅黑 Light"/>
                <w:sz w:val="24"/>
                <w:szCs w:val="21"/>
              </w:rPr>
              <w:t>10+</w:t>
            </w:r>
            <m:oMath>
              <m:f>
                <m:fPr>
                  <m:ctrlPr>
                    <w:rPr>
                      <w:rFonts w:hint="eastAsia" w:ascii="Cambria Math" w:hAnsi="Cambria Math" w:eastAsia="宋体" w:cs="微软雅黑 Light"/>
                      <w:sz w:val="24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hint="eastAsia" w:ascii="Cambria Math" w:hAnsi="Cambria Math" w:eastAsia="宋体" w:cs="微软雅黑 Light"/>
                      <w:sz w:val="24"/>
                      <w:szCs w:val="21"/>
                    </w:rPr>
                    <m:t>年利用小时数实际完成值</m:t>
                  </m:r>
                  <m:r>
                    <m:rPr>
                      <m:sty m:val="p"/>
                    </m:rPr>
                    <w:rPr>
                      <w:rFonts w:ascii="Cambria Math" w:hAnsi="Cambria Math" w:eastAsia="宋体" w:cs="微软雅黑 Light"/>
                      <w:sz w:val="24"/>
                      <w:szCs w:val="21"/>
                    </w:rPr>
                    <m:t>−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微软雅黑 Light"/>
                      <w:sz w:val="24"/>
                      <w:szCs w:val="21"/>
                    </w:rPr>
                    <m:t>该地市最佳倾角年有效利用小时数</m:t>
                  </m:r>
                  <m:ctrlPr>
                    <w:rPr>
                      <w:rFonts w:hint="eastAsia" w:ascii="Cambria Math" w:hAnsi="Cambria Math" w:eastAsia="宋体" w:cs="微软雅黑 Light"/>
                      <w:sz w:val="24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eastAsia" w:ascii="Cambria Math" w:hAnsi="Cambria Math" w:eastAsia="宋体" w:cs="微软雅黑 Light"/>
                      <w:sz w:val="24"/>
                      <w:szCs w:val="21"/>
                    </w:rPr>
                    <m:t>该地市最佳倾角年有效利用小时数</m:t>
                  </m:r>
                  <m:ctrlPr>
                    <w:rPr>
                      <w:rFonts w:hint="eastAsia" w:ascii="Cambria Math" w:hAnsi="Cambria Math" w:eastAsia="宋体" w:cs="微软雅黑 Light"/>
                      <w:sz w:val="24"/>
                      <w:szCs w:val="21"/>
                    </w:rPr>
                  </m:ctrlPr>
                </m:den>
              </m:f>
            </m:oMath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 xml:space="preserve"> ×100×0.5</w:t>
            </w:r>
          </w:p>
        </w:tc>
        <w:tc>
          <w:tcPr>
            <w:tcW w:w="229" w:type="pct"/>
            <w:vAlign w:val="center"/>
          </w:tcPr>
          <w:p w14:paraId="4D70625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6B79E57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3E641C9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03109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784C580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</w:t>
            </w:r>
          </w:p>
        </w:tc>
        <w:tc>
          <w:tcPr>
            <w:tcW w:w="4047" w:type="pct"/>
            <w:gridSpan w:val="7"/>
            <w:vAlign w:val="center"/>
          </w:tcPr>
          <w:p w14:paraId="23D91EB8">
            <w:pPr>
              <w:jc w:val="left"/>
              <w:rPr>
                <w:rFonts w:ascii="宋体" w:hAnsi="宋体" w:eastAsia="宋体" w:cs="微软雅黑 Light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8"/>
                <w:highlight w:val="none"/>
              </w:rPr>
              <w:t>市场适配指标</w:t>
            </w:r>
            <w:r>
              <w:rPr>
                <w:rFonts w:hint="eastAsia" w:ascii="宋体" w:hAnsi="宋体" w:eastAsia="宋体" w:cs="微软雅黑 Light"/>
                <w:sz w:val="24"/>
                <w:szCs w:val="21"/>
                <w:highlight w:val="none"/>
              </w:rPr>
              <w:t>10</w:t>
            </w:r>
          </w:p>
        </w:tc>
        <w:tc>
          <w:tcPr>
            <w:tcW w:w="229" w:type="pct"/>
            <w:vAlign w:val="center"/>
          </w:tcPr>
          <w:p w14:paraId="5B7C322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469D4D6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1BAE26B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4380E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2ECB1A6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2</w:t>
            </w:r>
          </w:p>
        </w:tc>
        <w:tc>
          <w:tcPr>
            <w:tcW w:w="565" w:type="pct"/>
            <w:gridSpan w:val="2"/>
            <w:vAlign w:val="center"/>
          </w:tcPr>
          <w:p w14:paraId="40C197A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消纳水平</w:t>
            </w:r>
          </w:p>
        </w:tc>
        <w:tc>
          <w:tcPr>
            <w:tcW w:w="219" w:type="pct"/>
            <w:gridSpan w:val="2"/>
            <w:vAlign w:val="center"/>
          </w:tcPr>
          <w:p w14:paraId="5DE29F4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5A06466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自发自用比例</w:t>
            </w:r>
          </w:p>
        </w:tc>
        <w:tc>
          <w:tcPr>
            <w:tcW w:w="2631" w:type="pct"/>
            <w:vAlign w:val="center"/>
          </w:tcPr>
          <w:p w14:paraId="3DC8D4A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自发自用比例×5</w:t>
            </w:r>
          </w:p>
        </w:tc>
        <w:tc>
          <w:tcPr>
            <w:tcW w:w="229" w:type="pct"/>
            <w:vAlign w:val="center"/>
          </w:tcPr>
          <w:p w14:paraId="5C93240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13DAB33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481AB43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6CD14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443A93B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3</w:t>
            </w:r>
          </w:p>
        </w:tc>
        <w:tc>
          <w:tcPr>
            <w:tcW w:w="565" w:type="pct"/>
            <w:gridSpan w:val="2"/>
            <w:vAlign w:val="center"/>
          </w:tcPr>
          <w:p w14:paraId="16429A0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消纳措施</w:t>
            </w:r>
          </w:p>
        </w:tc>
        <w:tc>
          <w:tcPr>
            <w:tcW w:w="219" w:type="pct"/>
            <w:gridSpan w:val="2"/>
            <w:vAlign w:val="center"/>
          </w:tcPr>
          <w:p w14:paraId="141B7BE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7D6DD8D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提升消纳措施</w:t>
            </w:r>
          </w:p>
        </w:tc>
        <w:tc>
          <w:tcPr>
            <w:tcW w:w="2631" w:type="pct"/>
            <w:vAlign w:val="center"/>
          </w:tcPr>
          <w:p w14:paraId="7A255EB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提升消纳的措施，如光储协同，用户侧能源管理智能化等，有提升措施得5分，否则0分</w:t>
            </w:r>
          </w:p>
        </w:tc>
        <w:tc>
          <w:tcPr>
            <w:tcW w:w="229" w:type="pct"/>
            <w:vAlign w:val="center"/>
          </w:tcPr>
          <w:p w14:paraId="06B06B6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39141F5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540206F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281C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335CC7E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三</w:t>
            </w:r>
          </w:p>
        </w:tc>
        <w:tc>
          <w:tcPr>
            <w:tcW w:w="4047" w:type="pct"/>
            <w:gridSpan w:val="7"/>
            <w:vAlign w:val="center"/>
          </w:tcPr>
          <w:p w14:paraId="096DF1D1">
            <w:pPr>
              <w:jc w:val="left"/>
              <w:rPr>
                <w:rFonts w:ascii="宋体" w:hAnsi="宋体" w:eastAsia="宋体" w:cs="微软雅黑 Light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  <w:highlight w:val="none"/>
              </w:rPr>
              <w:t>安全生产指标20</w:t>
            </w:r>
          </w:p>
        </w:tc>
        <w:tc>
          <w:tcPr>
            <w:tcW w:w="229" w:type="pct"/>
            <w:vAlign w:val="center"/>
          </w:tcPr>
          <w:p w14:paraId="59E28CE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63457487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7A9458B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7ADF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shd w:val="clear" w:color="auto" w:fill="auto"/>
            <w:vAlign w:val="center"/>
          </w:tcPr>
          <w:p w14:paraId="6FB7DBE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4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14:paraId="7B7CEE0F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制度管理</w:t>
            </w:r>
          </w:p>
        </w:tc>
        <w:tc>
          <w:tcPr>
            <w:tcW w:w="219" w:type="pct"/>
            <w:gridSpan w:val="2"/>
            <w:shd w:val="clear" w:color="auto" w:fill="auto"/>
            <w:vAlign w:val="center"/>
          </w:tcPr>
          <w:p w14:paraId="02C5A313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shd w:val="clear" w:color="auto" w:fill="auto"/>
            <w:vAlign w:val="center"/>
          </w:tcPr>
          <w:p w14:paraId="730DB97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制度建设情况</w:t>
            </w:r>
          </w:p>
        </w:tc>
        <w:tc>
          <w:tcPr>
            <w:tcW w:w="2631" w:type="pct"/>
            <w:shd w:val="clear" w:color="auto" w:fill="auto"/>
            <w:vAlign w:val="center"/>
          </w:tcPr>
          <w:p w14:paraId="7091C2FB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 w:val="24"/>
              </w:rPr>
              <w:t>运行和检修安全管理制度、操作票和工作票制度、安全培训考核制度等安全生产管理制度健全得5分，否则根据情况减分。</w:t>
            </w:r>
          </w:p>
        </w:tc>
        <w:tc>
          <w:tcPr>
            <w:tcW w:w="229" w:type="pct"/>
            <w:vAlign w:val="center"/>
          </w:tcPr>
          <w:p w14:paraId="22F20E8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3B24D1F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0E98116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5D88D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6A6B462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565" w:type="pct"/>
            <w:gridSpan w:val="2"/>
            <w:vAlign w:val="center"/>
          </w:tcPr>
          <w:p w14:paraId="30705038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安全措施</w:t>
            </w:r>
          </w:p>
        </w:tc>
        <w:tc>
          <w:tcPr>
            <w:tcW w:w="219" w:type="pct"/>
            <w:gridSpan w:val="2"/>
            <w:vAlign w:val="center"/>
          </w:tcPr>
          <w:p w14:paraId="5FC2315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7</w:t>
            </w:r>
          </w:p>
        </w:tc>
        <w:tc>
          <w:tcPr>
            <w:tcW w:w="630" w:type="pct"/>
            <w:gridSpan w:val="2"/>
            <w:vAlign w:val="center"/>
          </w:tcPr>
          <w:p w14:paraId="37EB848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设施建设与管理</w:t>
            </w:r>
          </w:p>
        </w:tc>
        <w:tc>
          <w:tcPr>
            <w:tcW w:w="2631" w:type="pct"/>
            <w:vAlign w:val="center"/>
          </w:tcPr>
          <w:p w14:paraId="614862DF">
            <w:pPr>
              <w:jc w:val="center"/>
              <w:rPr>
                <w:rFonts w:ascii="宋体" w:hAnsi="宋体" w:eastAsia="宋体" w:cs="微软雅黑 Light"/>
                <w:sz w:val="24"/>
                <w:szCs w:val="21"/>
                <w:highlight w:val="yellow"/>
              </w:rPr>
            </w:pPr>
            <w:r>
              <w:rPr>
                <w:rFonts w:hint="eastAsia" w:ascii="宋体" w:hAnsi="宋体" w:eastAsia="宋体"/>
                <w:sz w:val="24"/>
              </w:rPr>
              <w:t>防台防汛、防雷、防火、防疫、防误闭锁、漏电保护、涉网安全、网络与信息安全、保障建筑及内部生产生活安全等技术手段合理，设备及标识健全、管理得当得10分，否则根据情况减分。</w:t>
            </w:r>
          </w:p>
        </w:tc>
        <w:tc>
          <w:tcPr>
            <w:tcW w:w="229" w:type="pct"/>
            <w:vAlign w:val="center"/>
          </w:tcPr>
          <w:p w14:paraId="3105DC7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48E7270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66D03B8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55A12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66EE08D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6</w:t>
            </w:r>
          </w:p>
        </w:tc>
        <w:tc>
          <w:tcPr>
            <w:tcW w:w="565" w:type="pct"/>
            <w:gridSpan w:val="2"/>
            <w:vAlign w:val="center"/>
          </w:tcPr>
          <w:p w14:paraId="54D6FFD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安全活动</w:t>
            </w:r>
          </w:p>
        </w:tc>
        <w:tc>
          <w:tcPr>
            <w:tcW w:w="219" w:type="pct"/>
            <w:gridSpan w:val="2"/>
            <w:vAlign w:val="center"/>
          </w:tcPr>
          <w:p w14:paraId="5720E697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7</w:t>
            </w:r>
          </w:p>
        </w:tc>
        <w:tc>
          <w:tcPr>
            <w:tcW w:w="630" w:type="pct"/>
            <w:gridSpan w:val="2"/>
            <w:vAlign w:val="center"/>
          </w:tcPr>
          <w:p w14:paraId="243B1DC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制度、措施落实情况</w:t>
            </w:r>
          </w:p>
        </w:tc>
        <w:tc>
          <w:tcPr>
            <w:tcW w:w="2631" w:type="pct"/>
            <w:vAlign w:val="center"/>
          </w:tcPr>
          <w:p w14:paraId="0AF1220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各项安全检查记录完善、安全演练、安全培训等按计划开展、两措按计划完成10分，否则根据情况减分。</w:t>
            </w:r>
          </w:p>
        </w:tc>
        <w:tc>
          <w:tcPr>
            <w:tcW w:w="229" w:type="pct"/>
            <w:vAlign w:val="center"/>
          </w:tcPr>
          <w:p w14:paraId="5FB205E8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4B99800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5AD26CB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521D8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22E86D08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7</w:t>
            </w:r>
          </w:p>
        </w:tc>
        <w:tc>
          <w:tcPr>
            <w:tcW w:w="565" w:type="pct"/>
            <w:gridSpan w:val="2"/>
            <w:vAlign w:val="center"/>
          </w:tcPr>
          <w:p w14:paraId="49ABA166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保险</w:t>
            </w:r>
          </w:p>
        </w:tc>
        <w:tc>
          <w:tcPr>
            <w:tcW w:w="219" w:type="pct"/>
            <w:gridSpan w:val="2"/>
            <w:vAlign w:val="center"/>
          </w:tcPr>
          <w:p w14:paraId="585BA98F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</w:t>
            </w:r>
          </w:p>
        </w:tc>
        <w:tc>
          <w:tcPr>
            <w:tcW w:w="630" w:type="pct"/>
            <w:gridSpan w:val="2"/>
            <w:vAlign w:val="center"/>
          </w:tcPr>
          <w:p w14:paraId="4F84B52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购买安全责任险</w:t>
            </w:r>
          </w:p>
        </w:tc>
        <w:tc>
          <w:tcPr>
            <w:tcW w:w="2631" w:type="pct"/>
            <w:vAlign w:val="center"/>
          </w:tcPr>
          <w:p w14:paraId="31278492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购买的安全责任保险保额</w:t>
            </w:r>
          </w:p>
        </w:tc>
        <w:tc>
          <w:tcPr>
            <w:tcW w:w="229" w:type="pct"/>
            <w:vAlign w:val="center"/>
          </w:tcPr>
          <w:p w14:paraId="5415AD3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5EA3824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41C8DEF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4D11B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5232194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四</w:t>
            </w:r>
          </w:p>
        </w:tc>
        <w:tc>
          <w:tcPr>
            <w:tcW w:w="4047" w:type="pct"/>
            <w:gridSpan w:val="7"/>
            <w:vAlign w:val="center"/>
          </w:tcPr>
          <w:p w14:paraId="6700575D">
            <w:pPr>
              <w:jc w:val="left"/>
              <w:rPr>
                <w:rFonts w:ascii="宋体" w:hAnsi="宋体" w:eastAsia="宋体" w:cs="微软雅黑 Light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  <w:highlight w:val="none"/>
              </w:rPr>
              <w:t>智慧运维10</w:t>
            </w:r>
          </w:p>
        </w:tc>
        <w:tc>
          <w:tcPr>
            <w:tcW w:w="229" w:type="pct"/>
            <w:vAlign w:val="center"/>
          </w:tcPr>
          <w:p w14:paraId="132468D3">
            <w:pPr>
              <w:jc w:val="center"/>
              <w:rPr>
                <w:rFonts w:ascii="宋体" w:hAnsi="宋体" w:eastAsia="宋体" w:cs="微软雅黑 Light"/>
                <w:sz w:val="24"/>
                <w:szCs w:val="21"/>
                <w:highlight w:val="none"/>
              </w:rPr>
            </w:pPr>
          </w:p>
        </w:tc>
        <w:tc>
          <w:tcPr>
            <w:tcW w:w="235" w:type="pct"/>
            <w:vAlign w:val="center"/>
          </w:tcPr>
          <w:p w14:paraId="76D6188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0E78D86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055BD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3CB8D1D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8</w:t>
            </w:r>
          </w:p>
        </w:tc>
        <w:tc>
          <w:tcPr>
            <w:tcW w:w="565" w:type="pct"/>
            <w:gridSpan w:val="2"/>
            <w:vAlign w:val="center"/>
          </w:tcPr>
          <w:p w14:paraId="1957A9C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智能化</w:t>
            </w:r>
          </w:p>
        </w:tc>
        <w:tc>
          <w:tcPr>
            <w:tcW w:w="219" w:type="pct"/>
            <w:gridSpan w:val="2"/>
            <w:vAlign w:val="center"/>
          </w:tcPr>
          <w:p w14:paraId="531934B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0908799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智能化措施</w:t>
            </w:r>
          </w:p>
        </w:tc>
        <w:tc>
          <w:tcPr>
            <w:tcW w:w="2631" w:type="pct"/>
            <w:vAlign w:val="center"/>
          </w:tcPr>
          <w:p w14:paraId="252D94A3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采用智能化运维措施：如具备远程发电量监测、故障预警功能；实现“组件级-逆变器级-系统级”的全链路数据监控；集中运管平台等。酌情给分。</w:t>
            </w:r>
          </w:p>
        </w:tc>
        <w:tc>
          <w:tcPr>
            <w:tcW w:w="229" w:type="pct"/>
            <w:vAlign w:val="center"/>
          </w:tcPr>
          <w:p w14:paraId="60ABF19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3F5F95B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50FFEE0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5116F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305DEDA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9</w:t>
            </w:r>
          </w:p>
        </w:tc>
        <w:tc>
          <w:tcPr>
            <w:tcW w:w="565" w:type="pct"/>
            <w:gridSpan w:val="2"/>
            <w:vAlign w:val="center"/>
          </w:tcPr>
          <w:p w14:paraId="1E739CC7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运维效率</w:t>
            </w:r>
          </w:p>
        </w:tc>
        <w:tc>
          <w:tcPr>
            <w:tcW w:w="219" w:type="pct"/>
            <w:gridSpan w:val="2"/>
            <w:vAlign w:val="center"/>
          </w:tcPr>
          <w:p w14:paraId="5452481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73A4BDB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ascii="宋体" w:hAnsi="宋体" w:eastAsia="宋体" w:cs="微软雅黑 Light"/>
                <w:sz w:val="24"/>
                <w:szCs w:val="21"/>
              </w:rPr>
              <w:t>平均故障修复时间</w:t>
            </w:r>
          </w:p>
        </w:tc>
        <w:tc>
          <w:tcPr>
            <w:tcW w:w="2631" w:type="pct"/>
            <w:vAlign w:val="center"/>
          </w:tcPr>
          <w:p w14:paraId="120E54F8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平均故障修复时间≤4小时得5分，4-12小时得3分，12-24小时得1分。</w:t>
            </w:r>
          </w:p>
        </w:tc>
        <w:tc>
          <w:tcPr>
            <w:tcW w:w="229" w:type="pct"/>
            <w:vAlign w:val="center"/>
          </w:tcPr>
          <w:p w14:paraId="4ADE78F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53D2C75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5837006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61E27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786A300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五</w:t>
            </w:r>
          </w:p>
        </w:tc>
        <w:tc>
          <w:tcPr>
            <w:tcW w:w="4047" w:type="pct"/>
            <w:gridSpan w:val="7"/>
            <w:vAlign w:val="center"/>
          </w:tcPr>
          <w:p w14:paraId="1CC10BFB">
            <w:pPr>
              <w:jc w:val="left"/>
              <w:rPr>
                <w:rFonts w:ascii="宋体" w:hAnsi="宋体" w:eastAsia="宋体" w:cs="微软雅黑 Light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  <w:highlight w:val="none"/>
              </w:rPr>
              <w:t>创新性指标50</w:t>
            </w:r>
          </w:p>
        </w:tc>
        <w:tc>
          <w:tcPr>
            <w:tcW w:w="229" w:type="pct"/>
            <w:vAlign w:val="center"/>
          </w:tcPr>
          <w:p w14:paraId="34F55FD8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446ABC2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4DC035F3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3419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48FD0E6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10</w:t>
            </w:r>
          </w:p>
        </w:tc>
        <w:tc>
          <w:tcPr>
            <w:tcW w:w="565" w:type="pct"/>
            <w:gridSpan w:val="2"/>
            <w:vAlign w:val="center"/>
          </w:tcPr>
          <w:p w14:paraId="2F1D444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技术创新</w:t>
            </w:r>
          </w:p>
        </w:tc>
        <w:tc>
          <w:tcPr>
            <w:tcW w:w="219" w:type="pct"/>
            <w:gridSpan w:val="2"/>
            <w:vAlign w:val="center"/>
          </w:tcPr>
          <w:p w14:paraId="10D0411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15</w:t>
            </w:r>
          </w:p>
        </w:tc>
        <w:tc>
          <w:tcPr>
            <w:tcW w:w="630" w:type="pct"/>
            <w:gridSpan w:val="2"/>
            <w:vAlign w:val="center"/>
          </w:tcPr>
          <w:p w14:paraId="205EC4A9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创新技术应用</w:t>
            </w:r>
          </w:p>
        </w:tc>
        <w:tc>
          <w:tcPr>
            <w:tcW w:w="2631" w:type="pct"/>
            <w:vAlign w:val="center"/>
          </w:tcPr>
          <w:p w14:paraId="6EAB5A0A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采用的新产品、新技术、新材料、新结构，创新的设计理念、安装建设方式，智能化管理措施，新的并网运行控制方式，提升电能质量的创新举措等。</w:t>
            </w:r>
          </w:p>
        </w:tc>
        <w:tc>
          <w:tcPr>
            <w:tcW w:w="229" w:type="pct"/>
            <w:vAlign w:val="center"/>
          </w:tcPr>
          <w:p w14:paraId="3EAA18E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1E897BA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1B58AE0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0FABB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607492F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11</w:t>
            </w:r>
          </w:p>
        </w:tc>
        <w:tc>
          <w:tcPr>
            <w:tcW w:w="565" w:type="pct"/>
            <w:gridSpan w:val="2"/>
            <w:vAlign w:val="center"/>
          </w:tcPr>
          <w:p w14:paraId="7335E703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模式创新</w:t>
            </w:r>
          </w:p>
        </w:tc>
        <w:tc>
          <w:tcPr>
            <w:tcW w:w="219" w:type="pct"/>
            <w:gridSpan w:val="2"/>
            <w:vAlign w:val="center"/>
          </w:tcPr>
          <w:p w14:paraId="75EC588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10</w:t>
            </w:r>
          </w:p>
        </w:tc>
        <w:tc>
          <w:tcPr>
            <w:tcW w:w="630" w:type="pct"/>
            <w:gridSpan w:val="2"/>
            <w:vAlign w:val="center"/>
          </w:tcPr>
          <w:p w14:paraId="070CDF08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模式创新</w:t>
            </w:r>
          </w:p>
        </w:tc>
        <w:tc>
          <w:tcPr>
            <w:tcW w:w="2631" w:type="pct"/>
            <w:vAlign w:val="center"/>
          </w:tcPr>
          <w:p w14:paraId="13D4DB00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采用创新的运营模式、商业模式：如绿电直连、源网荷储、微电网、能碳协同等等；可以解决某类用户痛点的新的商业模式等</w:t>
            </w:r>
          </w:p>
        </w:tc>
        <w:tc>
          <w:tcPr>
            <w:tcW w:w="229" w:type="pct"/>
            <w:vAlign w:val="center"/>
          </w:tcPr>
          <w:p w14:paraId="67E23F1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6D9BB9CF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0A343396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72797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4AC5CEB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12</w:t>
            </w:r>
          </w:p>
        </w:tc>
        <w:tc>
          <w:tcPr>
            <w:tcW w:w="565" w:type="pct"/>
            <w:gridSpan w:val="2"/>
            <w:vAlign w:val="center"/>
          </w:tcPr>
          <w:p w14:paraId="2197552A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融合性</w:t>
            </w:r>
          </w:p>
          <w:p w14:paraId="45AADF36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（仅BIPV）</w:t>
            </w:r>
          </w:p>
        </w:tc>
        <w:tc>
          <w:tcPr>
            <w:tcW w:w="219" w:type="pct"/>
            <w:gridSpan w:val="2"/>
            <w:vAlign w:val="center"/>
          </w:tcPr>
          <w:p w14:paraId="4741E1E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20</w:t>
            </w:r>
          </w:p>
        </w:tc>
        <w:tc>
          <w:tcPr>
            <w:tcW w:w="630" w:type="pct"/>
            <w:gridSpan w:val="2"/>
            <w:vAlign w:val="center"/>
          </w:tcPr>
          <w:p w14:paraId="45831E40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与建筑、构筑物、设施等的和谐共生友好性</w:t>
            </w:r>
          </w:p>
        </w:tc>
        <w:tc>
          <w:tcPr>
            <w:tcW w:w="2631" w:type="pct"/>
            <w:vAlign w:val="center"/>
          </w:tcPr>
          <w:p w14:paraId="522C48DA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美观性8分：构造是否与周边建筑、人文景观风貌相协调，体现当地建筑文化要素。</w:t>
            </w:r>
          </w:p>
          <w:p w14:paraId="07F3B79A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功能融合8分：不影响建筑原有生产生活功能的措施，含建筑能耗、采光、防水、防火、结构安全等；</w:t>
            </w:r>
          </w:p>
          <w:p w14:paraId="2BD751B5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耐久性4分：包括选材耐久性、施工耐久性、运维便利性，以降低系统衰减和故障检修。</w:t>
            </w:r>
          </w:p>
        </w:tc>
        <w:tc>
          <w:tcPr>
            <w:tcW w:w="229" w:type="pct"/>
            <w:vAlign w:val="center"/>
          </w:tcPr>
          <w:p w14:paraId="7E66608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3891D15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4D19D126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3399D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39977DC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13</w:t>
            </w:r>
          </w:p>
        </w:tc>
        <w:tc>
          <w:tcPr>
            <w:tcW w:w="565" w:type="pct"/>
            <w:gridSpan w:val="2"/>
            <w:vAlign w:val="center"/>
          </w:tcPr>
          <w:p w14:paraId="03C1B49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获奖</w:t>
            </w:r>
          </w:p>
        </w:tc>
        <w:tc>
          <w:tcPr>
            <w:tcW w:w="219" w:type="pct"/>
            <w:gridSpan w:val="2"/>
            <w:vAlign w:val="center"/>
          </w:tcPr>
          <w:p w14:paraId="393977D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6CB675E6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专利与获奖情况</w:t>
            </w:r>
          </w:p>
        </w:tc>
        <w:tc>
          <w:tcPr>
            <w:tcW w:w="2631" w:type="pct"/>
            <w:vAlign w:val="center"/>
          </w:tcPr>
          <w:p w14:paraId="2ED5E4C1">
            <w:p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项目设计、建设、运营中产生的专利，获得的奖项、表彰、锦旗，媒体报道等。</w:t>
            </w:r>
          </w:p>
        </w:tc>
        <w:tc>
          <w:tcPr>
            <w:tcW w:w="229" w:type="pct"/>
            <w:vAlign w:val="center"/>
          </w:tcPr>
          <w:p w14:paraId="5EB57EA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73C9A66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1A01014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03CA3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2F58D07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六、</w:t>
            </w:r>
          </w:p>
        </w:tc>
        <w:tc>
          <w:tcPr>
            <w:tcW w:w="4047" w:type="pct"/>
            <w:gridSpan w:val="7"/>
            <w:vAlign w:val="center"/>
          </w:tcPr>
          <w:p w14:paraId="7D41F3D7">
            <w:pPr>
              <w:widowControl/>
              <w:jc w:val="left"/>
              <w:rPr>
                <w:rFonts w:ascii="宋体" w:hAnsi="宋体" w:eastAsia="宋体" w:cs="微软雅黑 Light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环境影响和社会效益指标10</w:t>
            </w:r>
          </w:p>
        </w:tc>
        <w:tc>
          <w:tcPr>
            <w:tcW w:w="229" w:type="pct"/>
            <w:vAlign w:val="center"/>
          </w:tcPr>
          <w:p w14:paraId="6634690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03AF11EF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6E4FBB1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0C4ED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7FC7CB1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14</w:t>
            </w:r>
          </w:p>
        </w:tc>
        <w:tc>
          <w:tcPr>
            <w:tcW w:w="565" w:type="pct"/>
            <w:gridSpan w:val="2"/>
            <w:vAlign w:val="center"/>
          </w:tcPr>
          <w:p w14:paraId="2EC6C48A">
            <w:pPr>
              <w:widowControl/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环境影响</w:t>
            </w:r>
          </w:p>
        </w:tc>
        <w:tc>
          <w:tcPr>
            <w:tcW w:w="219" w:type="pct"/>
            <w:gridSpan w:val="2"/>
            <w:vAlign w:val="center"/>
          </w:tcPr>
          <w:p w14:paraId="1A6EA8CB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224E323D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防治措施情况</w:t>
            </w:r>
          </w:p>
        </w:tc>
        <w:tc>
          <w:tcPr>
            <w:tcW w:w="2631" w:type="pct"/>
            <w:vAlign w:val="center"/>
          </w:tcPr>
          <w:p w14:paraId="2CEA145F">
            <w:pPr>
              <w:widowControl/>
              <w:jc w:val="left"/>
              <w:rPr>
                <w:rFonts w:ascii="Times New Roman" w:hAnsi="Times New Roman" w:cstheme="minorEastAsi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基础分 0 分，最高 2 分，最低-2 分。</w:t>
            </w: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 xml:space="preserve">取得环境影响报告表，或完成以下各项得2分，存在其他负面环境影响情况酌情减分： </w:t>
            </w:r>
          </w:p>
          <w:p w14:paraId="2B1C3B8F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>采用经过碳足迹认证的设备材料；</w:t>
            </w:r>
          </w:p>
          <w:p w14:paraId="75259584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>集约化利用建设场地资源（复合利用，采用高效产品等）</w:t>
            </w:r>
          </w:p>
          <w:p w14:paraId="3DE5EE7A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>施工期生态防治措施；</w:t>
            </w:r>
          </w:p>
          <w:p w14:paraId="38FA8C2C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>建设、运营期间降低能源消耗，水资源利用措施；</w:t>
            </w:r>
          </w:p>
          <w:p w14:paraId="7EE04341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>建设、运营期间废水、固废防治措施，各类废物循环利用的措施，减少污染物的排放量；</w:t>
            </w:r>
          </w:p>
          <w:p w14:paraId="7C811B8E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 xml:space="preserve">建设、运营期间噪声防治措施； </w:t>
            </w:r>
          </w:p>
          <w:p w14:paraId="000B1C0A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 w:cstheme="minorEastAsia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 xml:space="preserve">建设运营采用的防治光污染措施； </w:t>
            </w:r>
          </w:p>
          <w:p w14:paraId="453F4C14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kern w:val="0"/>
                <w:sz w:val="24"/>
                <w:lang w:bidi="ar"/>
              </w:rPr>
              <w:t xml:space="preserve">其他避免环境影响措施。 </w:t>
            </w:r>
          </w:p>
        </w:tc>
        <w:tc>
          <w:tcPr>
            <w:tcW w:w="229" w:type="pct"/>
            <w:vAlign w:val="center"/>
          </w:tcPr>
          <w:p w14:paraId="285667B2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15D4E34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231F8C1C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  <w:tr w14:paraId="7DFF6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" w:type="pct"/>
            <w:vAlign w:val="center"/>
          </w:tcPr>
          <w:p w14:paraId="46B23498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15</w:t>
            </w:r>
          </w:p>
        </w:tc>
        <w:tc>
          <w:tcPr>
            <w:tcW w:w="565" w:type="pct"/>
            <w:gridSpan w:val="2"/>
            <w:vAlign w:val="center"/>
          </w:tcPr>
          <w:p w14:paraId="3D9887E8">
            <w:pPr>
              <w:widowControl/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社会效益</w:t>
            </w:r>
          </w:p>
        </w:tc>
        <w:tc>
          <w:tcPr>
            <w:tcW w:w="219" w:type="pct"/>
            <w:gridSpan w:val="2"/>
            <w:vAlign w:val="center"/>
          </w:tcPr>
          <w:p w14:paraId="1FA29D35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微软雅黑 Light"/>
                <w:sz w:val="24"/>
                <w:szCs w:val="21"/>
              </w:rPr>
              <w:t>5</w:t>
            </w:r>
          </w:p>
        </w:tc>
        <w:tc>
          <w:tcPr>
            <w:tcW w:w="630" w:type="pct"/>
            <w:gridSpan w:val="2"/>
            <w:vAlign w:val="center"/>
          </w:tcPr>
          <w:p w14:paraId="3C75D07F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社会影响情况</w:t>
            </w:r>
          </w:p>
        </w:tc>
        <w:tc>
          <w:tcPr>
            <w:tcW w:w="2631" w:type="pct"/>
            <w:vAlign w:val="center"/>
          </w:tcPr>
          <w:p w14:paraId="0ECC749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基础分 0 分，最高 8 分，最低-8 分。根据以下各项完成情况酌情加分，存在其他负面社会影响情况酌情减分：</w:t>
            </w:r>
          </w:p>
          <w:p w14:paraId="54A1F0F7"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促进民生福祉，促进乡村振兴，促进就业，增加当地群众收入，帮助当地群众解决生产生活问题；</w:t>
            </w:r>
          </w:p>
          <w:p w14:paraId="63A61656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促进区域经济发展，投资、税收带动；</w:t>
            </w:r>
          </w:p>
          <w:p w14:paraId="75B3BC94">
            <w:pPr>
              <w:widowControl/>
              <w:numPr>
                <w:ilvl w:val="0"/>
                <w:numId w:val="3"/>
              </w:num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促进区域减排、降耗，参加绿色电力交易；</w:t>
            </w:r>
          </w:p>
          <w:p w14:paraId="0B5663B8"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eastAsia="宋体" w:cs="微软雅黑 Light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其他。</w:t>
            </w:r>
          </w:p>
        </w:tc>
        <w:tc>
          <w:tcPr>
            <w:tcW w:w="229" w:type="pct"/>
            <w:vAlign w:val="center"/>
          </w:tcPr>
          <w:p w14:paraId="0C3C3754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35" w:type="pct"/>
            <w:vAlign w:val="center"/>
          </w:tcPr>
          <w:p w14:paraId="7D234ECE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  <w:tc>
          <w:tcPr>
            <w:tcW w:w="242" w:type="pct"/>
            <w:vAlign w:val="center"/>
          </w:tcPr>
          <w:p w14:paraId="4E932501">
            <w:pPr>
              <w:jc w:val="center"/>
              <w:rPr>
                <w:rFonts w:ascii="宋体" w:hAnsi="宋体" w:eastAsia="宋体" w:cs="微软雅黑 Light"/>
                <w:sz w:val="24"/>
                <w:szCs w:val="21"/>
              </w:rPr>
            </w:pPr>
          </w:p>
        </w:tc>
      </w:tr>
    </w:tbl>
    <w:p w14:paraId="4B2DEEFE">
      <w:r>
        <w:rPr>
          <w:rFonts w:hint="eastAsia"/>
        </w:rPr>
        <w:t>注：1、“证明材料”已提供打“✔”；</w:t>
      </w:r>
    </w:p>
    <w:p w14:paraId="3C36734B">
      <w:pPr>
        <w:numPr>
          <w:ilvl w:val="0"/>
          <w:numId w:val="4"/>
        </w:numPr>
        <w:ind w:firstLine="420" w:firstLineChars="200"/>
      </w:pPr>
      <w:r>
        <w:rPr>
          <w:rFonts w:hint="eastAsia"/>
        </w:rPr>
        <w:t>“自评分”由申报单位根据评分细则打分；</w:t>
      </w:r>
    </w:p>
    <w:p w14:paraId="0FF1E91A">
      <w:pPr>
        <w:numPr>
          <w:ilvl w:val="0"/>
          <w:numId w:val="4"/>
        </w:numPr>
        <w:ind w:firstLine="420" w:firstLineChars="200"/>
      </w:pPr>
      <w:r>
        <w:rPr>
          <w:rFonts w:hint="eastAsia"/>
        </w:rPr>
        <w:t>“专家评分”由评审专家根据评分细则打分。</w:t>
      </w:r>
    </w:p>
    <w:p w14:paraId="4E8850A7"/>
    <w:p w14:paraId="588EAEC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AAF869"/>
    <w:multiLevelType w:val="singleLevel"/>
    <w:tmpl w:val="A5AAF869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23791FD1"/>
    <w:multiLevelType w:val="singleLevel"/>
    <w:tmpl w:val="23791FD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A968E3C"/>
    <w:multiLevelType w:val="singleLevel"/>
    <w:tmpl w:val="3A968E3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F2C1EE0"/>
    <w:multiLevelType w:val="singleLevel"/>
    <w:tmpl w:val="4F2C1EE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0526362"/>
    <w:rsid w:val="000D105E"/>
    <w:rsid w:val="00526362"/>
    <w:rsid w:val="00795932"/>
    <w:rsid w:val="007D770A"/>
    <w:rsid w:val="009010BC"/>
    <w:rsid w:val="00BD4B32"/>
    <w:rsid w:val="00C03B8A"/>
    <w:rsid w:val="00D93DAC"/>
    <w:rsid w:val="08AD34CD"/>
    <w:rsid w:val="0D887163"/>
    <w:rsid w:val="109B5647"/>
    <w:rsid w:val="1C220A8E"/>
    <w:rsid w:val="1CFF297A"/>
    <w:rsid w:val="213555AF"/>
    <w:rsid w:val="27091562"/>
    <w:rsid w:val="3ACC6031"/>
    <w:rsid w:val="40D741AF"/>
    <w:rsid w:val="44442293"/>
    <w:rsid w:val="47177B78"/>
    <w:rsid w:val="474C7B40"/>
    <w:rsid w:val="4BBA572F"/>
    <w:rsid w:val="4EC05A55"/>
    <w:rsid w:val="57953C26"/>
    <w:rsid w:val="5A93102F"/>
    <w:rsid w:val="5AF20162"/>
    <w:rsid w:val="5FC36F4A"/>
    <w:rsid w:val="63AD6150"/>
    <w:rsid w:val="6886329B"/>
    <w:rsid w:val="68EF049E"/>
    <w:rsid w:val="6BD1610B"/>
    <w:rsid w:val="6F9C0BD2"/>
    <w:rsid w:val="73777ED7"/>
    <w:rsid w:val="7C0D41B5"/>
    <w:rsid w:val="7C536B38"/>
    <w:rsid w:val="7C79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1489</Words>
  <Characters>1540</Characters>
  <Lines>9</Lines>
  <Paragraphs>2</Paragraphs>
  <TotalTime>0</TotalTime>
  <ScaleCrop>false</ScaleCrop>
  <LinksUpToDate>false</LinksUpToDate>
  <CharactersWithSpaces>1555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2024-09-13T07:45:00Z</dcterms:created>
  <dc:creator>Administrator</dc:creator>
  <cp:lastModifiedBy>J丶M</cp:lastModifiedBy>
  <dcterms:modified xsi:type="dcterms:W3CDTF">2025-10-14T09:33:22Z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8B570CA378B94B759F9B4D6FCCF53D3C</vt:lpwstr>
  </property>
  <property fmtid="{D5CDD505-2E9C-101B-9397-08002B2CF9AE}" pid="4" name="KSOTemplateDocerSaveRecord">
    <vt:lpwstr>eyJoZGlkIjoiZGJlOTJlODNkYjU1ZDE1MWUyYTk1ZGM1YWM2NDU3YWYiLCJ1c2VySWQiOiI3MzMxMjk0NDEifQ==</vt:lpwstr>
  </property>
</Properties>
</file>